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A361D8" w:rsidR="005B09B6" w:rsidP="000215DB" w:rsidRDefault="005B09B6" w14:paraId="486E9DB1" w14:textId="77777777">
      <w:pPr>
        <w:rPr>
          <w:b/>
          <w:sz w:val="40"/>
        </w:rPr>
      </w:pPr>
      <w:r w:rsidRPr="00A361D8">
        <w:rPr>
          <w:b/>
          <w:sz w:val="40"/>
        </w:rPr>
        <w:t xml:space="preserve">Reserves and Distribution </w:t>
      </w:r>
      <w:r w:rsidRPr="00A361D8" w:rsidR="00A361D8">
        <w:rPr>
          <w:b/>
          <w:sz w:val="40"/>
        </w:rPr>
        <w:t xml:space="preserve">Policy </w:t>
      </w:r>
      <w:r w:rsidRPr="00A361D8">
        <w:rPr>
          <w:b/>
          <w:sz w:val="40"/>
        </w:rPr>
        <w:t xml:space="preserve">Guidance </w:t>
      </w:r>
    </w:p>
    <w:p w:rsidRPr="00A361D8" w:rsidR="000215DB" w:rsidP="4850D84F" w:rsidRDefault="000215DB" w14:paraId="56A46C5C" w14:textId="7AD6796E">
      <w:pPr>
        <w:rPr>
          <w:rFonts w:cs="Calibri" w:cstheme="minorAscii"/>
        </w:rPr>
      </w:pPr>
      <w:r w:rsidRPr="4850D84F" w:rsidR="000215DB">
        <w:rPr>
          <w:rFonts w:cs="Calibri" w:cstheme="minorAscii"/>
          <w:color w:val="333333"/>
          <w:shd w:val="clear" w:color="auto" w:fill="FFFFFF"/>
        </w:rPr>
        <w:t xml:space="preserve">A reserves policy helps </w:t>
      </w:r>
      <w:r w:rsidRPr="4850D84F" w:rsidR="005B09B6">
        <w:rPr>
          <w:rFonts w:cs="Calibri" w:cstheme="minorAscii"/>
          <w:color w:val="333333"/>
          <w:shd w:val="clear" w:color="auto" w:fill="FFFFFF"/>
        </w:rPr>
        <w:t>the Management Committee</w:t>
      </w:r>
      <w:r w:rsidRPr="4850D84F" w:rsidR="000215DB">
        <w:rPr>
          <w:rFonts w:cs="Calibri" w:cstheme="minorAscii"/>
          <w:color w:val="333333"/>
          <w:shd w:val="clear" w:color="auto" w:fill="FFFFFF"/>
        </w:rPr>
        <w:t xml:space="preserve"> to justify holding appropriate levels of financial reserves to protect against future uncertainties. </w:t>
      </w:r>
      <w:r w:rsidRPr="4850D84F" w:rsidR="000215DB">
        <w:rPr>
          <w:rFonts w:cs="Calibri" w:cstheme="minorAscii"/>
        </w:rPr>
        <w:t xml:space="preserve">It will also enable the Management Committee to explain to </w:t>
      </w:r>
      <w:r w:rsidRPr="4850D84F" w:rsidR="0080431D">
        <w:rPr>
          <w:rFonts w:cs="Calibri" w:cstheme="minorAscii"/>
        </w:rPr>
        <w:t>m</w:t>
      </w:r>
      <w:r w:rsidRPr="4850D84F" w:rsidR="000215DB">
        <w:rPr>
          <w:rFonts w:cs="Calibri" w:cstheme="minorAscii"/>
        </w:rPr>
        <w:t xml:space="preserve">embers, </w:t>
      </w:r>
      <w:r w:rsidRPr="4850D84F" w:rsidR="0080431D">
        <w:rPr>
          <w:rFonts w:cs="Calibri" w:cstheme="minorAscii"/>
        </w:rPr>
        <w:t xml:space="preserve">funders, staff, volunteers </w:t>
      </w:r>
      <w:r w:rsidRPr="4850D84F" w:rsidR="000215DB">
        <w:rPr>
          <w:rFonts w:cs="Calibri" w:cstheme="minorAscii"/>
        </w:rPr>
        <w:t xml:space="preserve">and the public </w:t>
      </w:r>
      <w:r w:rsidRPr="4850D84F" w:rsidR="000215DB">
        <w:rPr>
          <w:rFonts w:cs="Calibri" w:cstheme="minorAscii"/>
        </w:rPr>
        <w:t>the reasons behind the</w:t>
      </w:r>
      <w:r w:rsidRPr="4850D84F" w:rsidR="000215DB">
        <w:rPr>
          <w:rFonts w:cs="Calibri" w:cstheme="minorAscii"/>
        </w:rPr>
        <w:t xml:space="preserve"> level of reserves</w:t>
      </w:r>
      <w:r w:rsidRPr="4850D84F" w:rsidR="000215DB">
        <w:rPr>
          <w:rFonts w:cs="Calibri" w:cstheme="minorAscii"/>
        </w:rPr>
        <w:t xml:space="preserve"> held</w:t>
      </w:r>
      <w:r w:rsidRPr="4850D84F" w:rsidR="00F666A0">
        <w:rPr>
          <w:rFonts w:cs="Calibri" w:cstheme="minorAscii"/>
        </w:rPr>
        <w:t>, and demonstrates good financial management.</w:t>
      </w:r>
    </w:p>
    <w:p w:rsidRPr="00A361D8" w:rsidR="005635A1" w:rsidP="4850D84F" w:rsidRDefault="005635A1" w14:paraId="7CDDF630" w14:textId="3D20D655">
      <w:pPr>
        <w:rPr>
          <w:rFonts w:cs="Calibri" w:cstheme="minorAscii"/>
        </w:rPr>
      </w:pPr>
      <w:r w:rsidRPr="15E2EAE9" w:rsidR="005635A1">
        <w:rPr>
          <w:rFonts w:cs="Calibri" w:cstheme="minorAscii"/>
        </w:rPr>
        <w:t>In addition to this, when you are considering your share withdrawals policy</w:t>
      </w:r>
      <w:r w:rsidRPr="15E2EAE9" w:rsidR="002318B0">
        <w:rPr>
          <w:rFonts w:cs="Calibri" w:cstheme="minorAscii"/>
        </w:rPr>
        <w:t>,</w:t>
      </w:r>
      <w:r w:rsidRPr="15E2EAE9" w:rsidR="005635A1">
        <w:rPr>
          <w:rFonts w:cs="Calibri" w:cstheme="minorAscii"/>
        </w:rPr>
        <w:t xml:space="preserve"> your reserves policy</w:t>
      </w:r>
      <w:r w:rsidRPr="15E2EAE9" w:rsidR="00370624">
        <w:rPr>
          <w:rFonts w:cs="Calibri" w:cstheme="minorAscii"/>
        </w:rPr>
        <w:t xml:space="preserve"> along with trading profits and new share capital</w:t>
      </w:r>
      <w:r w:rsidRPr="15E2EAE9" w:rsidR="00440EFC">
        <w:rPr>
          <w:rFonts w:cs="Calibri" w:cstheme="minorAscii"/>
        </w:rPr>
        <w:t>,</w:t>
      </w:r>
      <w:r w:rsidRPr="15E2EAE9" w:rsidR="005635A1">
        <w:rPr>
          <w:rFonts w:cs="Calibri" w:cstheme="minorAscii"/>
        </w:rPr>
        <w:t xml:space="preserve"> will help you to ascertain the level of withdrawals your society can accommodate per year.</w:t>
      </w:r>
    </w:p>
    <w:p w:rsidRPr="00A361D8" w:rsidR="000215DB" w:rsidP="000215DB" w:rsidRDefault="000215DB" w14:paraId="6A3A7770" w14:textId="77777777">
      <w:pPr>
        <w:shd w:val="clear" w:color="auto" w:fill="FFFFFF"/>
        <w:spacing w:before="300" w:after="300" w:line="240" w:lineRule="auto"/>
        <w:rPr>
          <w:rFonts w:eastAsia="Times New Roman" w:cstheme="minorHAnsi"/>
          <w:b/>
          <w:color w:val="0B0C0C"/>
          <w:lang w:eastAsia="en-GB"/>
        </w:rPr>
      </w:pPr>
      <w:r w:rsidRPr="00A361D8">
        <w:rPr>
          <w:rFonts w:eastAsia="Times New Roman" w:cstheme="minorHAnsi"/>
          <w:b/>
          <w:color w:val="0B0C0C"/>
          <w:lang w:eastAsia="en-GB"/>
        </w:rPr>
        <w:t>Your reserves policy should set out:</w:t>
      </w:r>
    </w:p>
    <w:p w:rsidRPr="00A361D8" w:rsidR="000215DB" w:rsidP="000215DB" w:rsidRDefault="0080431D" w14:paraId="6004E205" w14:textId="7777777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b/>
          <w:color w:val="0B0C0C"/>
          <w:lang w:eastAsia="en-GB"/>
        </w:rPr>
      </w:pPr>
      <w:r w:rsidRPr="00A361D8">
        <w:rPr>
          <w:rFonts w:eastAsia="Times New Roman" w:cstheme="minorHAnsi"/>
          <w:b/>
          <w:color w:val="0B0C0C"/>
          <w:lang w:eastAsia="en-GB"/>
        </w:rPr>
        <w:t>H</w:t>
      </w:r>
      <w:r w:rsidRPr="00A361D8" w:rsidR="000215DB">
        <w:rPr>
          <w:rFonts w:eastAsia="Times New Roman" w:cstheme="minorHAnsi"/>
          <w:b/>
          <w:color w:val="0B0C0C"/>
          <w:lang w:eastAsia="en-GB"/>
        </w:rPr>
        <w:t>ow much your Community Business needs to hold in reserve and why</w:t>
      </w:r>
    </w:p>
    <w:p w:rsidRPr="00A361D8" w:rsidR="005635A1" w:rsidP="005635A1" w:rsidRDefault="005635A1" w14:paraId="365FCDF5" w14:textId="77777777">
      <w:pPr>
        <w:shd w:val="clear" w:color="auto" w:fill="FFFFFF"/>
        <w:spacing w:before="300" w:after="300" w:line="240" w:lineRule="auto"/>
        <w:ind w:firstLine="300"/>
      </w:pPr>
      <w:r w:rsidRPr="00A361D8">
        <w:t xml:space="preserve">Reserves should be set by considering (where appropriate) the following: </w:t>
      </w:r>
    </w:p>
    <w:p w:rsidRPr="00A361D8" w:rsidR="005635A1" w:rsidP="005635A1" w:rsidRDefault="005635A1" w14:paraId="146CF850" w14:textId="77777777">
      <w:pPr>
        <w:pStyle w:val="ListParagraph"/>
        <w:numPr>
          <w:ilvl w:val="0"/>
          <w:numId w:val="1"/>
        </w:numPr>
        <w:shd w:val="clear" w:color="auto" w:fill="FFFFFF"/>
        <w:spacing w:before="300" w:after="300" w:line="240" w:lineRule="auto"/>
      </w:pPr>
      <w:r w:rsidRPr="00A361D8">
        <w:t>Cash flow (and forecasts)</w:t>
      </w:r>
    </w:p>
    <w:p w:rsidRPr="00A361D8" w:rsidR="005635A1" w:rsidP="005635A1" w:rsidRDefault="005635A1" w14:paraId="337ED367" w14:textId="77777777">
      <w:pPr>
        <w:pStyle w:val="ListParagraph"/>
        <w:numPr>
          <w:ilvl w:val="0"/>
          <w:numId w:val="1"/>
        </w:numPr>
        <w:shd w:val="clear" w:color="auto" w:fill="FFFFFF"/>
        <w:spacing w:before="300" w:after="300" w:line="240" w:lineRule="auto"/>
      </w:pPr>
      <w:r w:rsidRPr="00A361D8">
        <w:t>A review of your existing funds and reserves</w:t>
      </w:r>
    </w:p>
    <w:p w:rsidRPr="00A361D8" w:rsidR="00F666A0" w:rsidP="005635A1" w:rsidRDefault="00F666A0" w14:paraId="2380F50E" w14:textId="77777777">
      <w:pPr>
        <w:pStyle w:val="ListParagraph"/>
        <w:numPr>
          <w:ilvl w:val="0"/>
          <w:numId w:val="1"/>
        </w:numPr>
        <w:shd w:val="clear" w:color="auto" w:fill="FFFFFF"/>
        <w:spacing w:before="300" w:after="300" w:line="240" w:lineRule="auto"/>
      </w:pPr>
      <w:r w:rsidRPr="00A361D8">
        <w:t>A review of restricted or unrestricted funds</w:t>
      </w:r>
    </w:p>
    <w:p w:rsidRPr="00A361D8" w:rsidR="005635A1" w:rsidP="005635A1" w:rsidRDefault="005635A1" w14:paraId="2545DD60" w14:textId="77777777">
      <w:pPr>
        <w:pStyle w:val="ListParagraph"/>
        <w:numPr>
          <w:ilvl w:val="0"/>
          <w:numId w:val="1"/>
        </w:numPr>
        <w:shd w:val="clear" w:color="auto" w:fill="FFFFFF"/>
        <w:spacing w:before="300" w:after="300" w:line="240" w:lineRule="auto"/>
      </w:pPr>
      <w:r w:rsidRPr="00A361D8">
        <w:t>A review of future income streams</w:t>
      </w:r>
    </w:p>
    <w:p w:rsidRPr="00A361D8" w:rsidR="005635A1" w:rsidP="005635A1" w:rsidRDefault="005635A1" w14:paraId="044A63B3" w14:textId="77777777">
      <w:pPr>
        <w:pStyle w:val="ListParagraph"/>
        <w:numPr>
          <w:ilvl w:val="0"/>
          <w:numId w:val="1"/>
        </w:num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  <w:lang w:eastAsia="en-GB"/>
        </w:rPr>
      </w:pPr>
      <w:r w:rsidRPr="00A361D8">
        <w:t>A review of likely future expenditure based on your plans for the year ahead</w:t>
      </w:r>
    </w:p>
    <w:p w:rsidRPr="00A361D8" w:rsidR="005635A1" w:rsidP="005635A1" w:rsidRDefault="005635A1" w14:paraId="34DF89DE" w14:textId="77777777">
      <w:pPr>
        <w:pStyle w:val="ListParagraph"/>
        <w:numPr>
          <w:ilvl w:val="0"/>
          <w:numId w:val="1"/>
        </w:num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  <w:lang w:eastAsia="en-GB"/>
        </w:rPr>
      </w:pPr>
      <w:r w:rsidRPr="00A361D8">
        <w:t>A review of past operational and other trends</w:t>
      </w:r>
    </w:p>
    <w:p w:rsidRPr="00A361D8" w:rsidR="005635A1" w:rsidP="005635A1" w:rsidRDefault="005635A1" w14:paraId="7EB8DA31" w14:textId="6B7F5299">
      <w:pPr>
        <w:pStyle w:val="ListParagraph"/>
        <w:numPr>
          <w:ilvl w:val="0"/>
          <w:numId w:val="1"/>
        </w:num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  <w:lang w:eastAsia="en-GB"/>
        </w:rPr>
      </w:pPr>
      <w:r w:rsidRPr="00A361D8">
        <w:t>The likely effects of changes on the membership</w:t>
      </w:r>
    </w:p>
    <w:p w:rsidRPr="00A361D8" w:rsidR="005635A1" w:rsidP="005635A1" w:rsidRDefault="005635A1" w14:paraId="1497941F" w14:textId="77777777">
      <w:pPr>
        <w:pStyle w:val="ListParagraph"/>
        <w:numPr>
          <w:ilvl w:val="0"/>
          <w:numId w:val="1"/>
        </w:num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  <w:lang w:eastAsia="en-GB"/>
        </w:rPr>
      </w:pPr>
      <w:r w:rsidRPr="00A361D8">
        <w:t>A review of the major risks facing the society</w:t>
      </w:r>
    </w:p>
    <w:p w:rsidRPr="00A361D8" w:rsidR="005635A1" w:rsidP="005635A1" w:rsidRDefault="005635A1" w14:paraId="161A28BB" w14:textId="77777777">
      <w:pPr>
        <w:pStyle w:val="ListParagraph"/>
        <w:numPr>
          <w:ilvl w:val="0"/>
          <w:numId w:val="1"/>
        </w:num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  <w:lang w:eastAsia="en-GB"/>
        </w:rPr>
      </w:pPr>
      <w:r w:rsidRPr="00A361D8">
        <w:t>A review of the Member register and impact of possible share withdrawals</w:t>
      </w:r>
    </w:p>
    <w:p w:rsidRPr="00A361D8" w:rsidR="005635A1" w:rsidP="005635A1" w:rsidRDefault="005635A1" w14:paraId="04993BA5" w14:textId="77777777">
      <w:pPr>
        <w:pStyle w:val="ListParagraph"/>
        <w:numPr>
          <w:ilvl w:val="0"/>
          <w:numId w:val="1"/>
        </w:num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  <w:lang w:eastAsia="en-GB"/>
        </w:rPr>
      </w:pPr>
      <w:r w:rsidRPr="00A361D8">
        <w:t>An analysis of future needs and risks with the potential consequences if you do not have sufficient funds. This should refer to your Risk Register or SWAT analysis</w:t>
      </w:r>
    </w:p>
    <w:p w:rsidRPr="00A361D8" w:rsidR="005635A1" w:rsidP="4850D84F" w:rsidRDefault="005635A1" w14:paraId="0591D4C7" w14:textId="55C4A1CC">
      <w:pPr>
        <w:shd w:val="clear" w:color="auto" w:fill="FFFFFF" w:themeFill="background1"/>
        <w:spacing w:before="300" w:after="300" w:line="240" w:lineRule="auto"/>
        <w:ind w:left="360"/>
      </w:pPr>
      <w:r w:rsidR="005635A1">
        <w:rPr/>
        <w:t>Excessive reserves can be as damaging for your business as not having enough</w:t>
      </w:r>
      <w:r w:rsidR="005635A1">
        <w:rPr/>
        <w:t>.</w:t>
      </w:r>
      <w:r w:rsidR="005635A1">
        <w:rPr/>
        <w:t xml:space="preserve"> </w:t>
      </w:r>
      <w:r w:rsidR="005635A1">
        <w:rPr/>
        <w:t>F</w:t>
      </w:r>
      <w:r w:rsidR="005635A1">
        <w:rPr/>
        <w:t>or example, if you have large reserves that you do not have specific plans for this may count against you if you are ap</w:t>
      </w:r>
      <w:r w:rsidR="00F666A0">
        <w:rPr/>
        <w:t>plying for grants</w:t>
      </w:r>
      <w:r w:rsidR="00F666A0">
        <w:rPr/>
        <w:t>.</w:t>
      </w:r>
      <w:r w:rsidR="00F666A0">
        <w:rPr/>
        <w:t xml:space="preserve"> </w:t>
      </w:r>
      <w:r w:rsidR="00F666A0">
        <w:rPr/>
        <w:t>R</w:t>
      </w:r>
      <w:r w:rsidR="00F666A0">
        <w:rPr/>
        <w:t>etaining funds may not allow you to provide the benefits to the community that you originally intended to.</w:t>
      </w:r>
    </w:p>
    <w:p w:rsidRPr="00A361D8" w:rsidR="005635A1" w:rsidP="4850D84F" w:rsidRDefault="005635A1" w14:paraId="469C93BC" w14:textId="2282F66A">
      <w:pPr>
        <w:shd w:val="clear" w:color="auto" w:fill="FFFFFF" w:themeFill="background1"/>
        <w:spacing w:before="300" w:after="300" w:line="240" w:lineRule="auto"/>
        <w:ind w:left="360"/>
        <w:rPr>
          <w:rFonts w:eastAsia="Times New Roman" w:cs="Calibri" w:cstheme="minorAscii"/>
          <w:color w:val="0B0C0C"/>
          <w:lang w:eastAsia="en-GB"/>
        </w:rPr>
      </w:pPr>
      <w:r w:rsidRPr="15E2EAE9" w:rsidR="005635A1">
        <w:rPr>
          <w:rFonts w:eastAsia="Times New Roman" w:cs="Calibri" w:cstheme="minorAscii"/>
          <w:color w:val="0B0C0C"/>
          <w:lang w:eastAsia="en-GB"/>
        </w:rPr>
        <w:t>A successful community business that does not have high level</w:t>
      </w:r>
      <w:r w:rsidRPr="15E2EAE9" w:rsidR="005635A1">
        <w:rPr>
          <w:rFonts w:eastAsia="Times New Roman" w:cs="Calibri" w:cstheme="minorAscii"/>
          <w:color w:val="0B0C0C"/>
          <w:lang w:eastAsia="en-GB"/>
        </w:rPr>
        <w:t>s</w:t>
      </w:r>
      <w:r w:rsidRPr="15E2EAE9" w:rsidR="005635A1">
        <w:rPr>
          <w:rFonts w:eastAsia="Times New Roman" w:cs="Calibri" w:cstheme="minorAscii"/>
          <w:color w:val="0B0C0C"/>
          <w:lang w:eastAsia="en-GB"/>
        </w:rPr>
        <w:t xml:space="preserve"> of share </w:t>
      </w:r>
      <w:r w:rsidRPr="15E2EAE9" w:rsidR="00370624">
        <w:rPr>
          <w:rFonts w:eastAsia="Times New Roman" w:cs="Calibri" w:cstheme="minorAscii"/>
          <w:color w:val="0B0C0C"/>
          <w:lang w:eastAsia="en-GB"/>
        </w:rPr>
        <w:t>capital</w:t>
      </w:r>
      <w:r w:rsidRPr="15E2EAE9" w:rsidR="00370624">
        <w:rPr>
          <w:rFonts w:eastAsia="Times New Roman" w:cs="Calibri" w:cstheme="minorAscii"/>
          <w:color w:val="0B0C0C"/>
          <w:lang w:eastAsia="en-GB"/>
        </w:rPr>
        <w:t xml:space="preserve"> </w:t>
      </w:r>
      <w:r w:rsidRPr="15E2EAE9" w:rsidR="005635A1">
        <w:rPr>
          <w:rFonts w:eastAsia="Times New Roman" w:cs="Calibri" w:cstheme="minorAscii"/>
          <w:color w:val="0B0C0C"/>
          <w:lang w:eastAsia="en-GB"/>
        </w:rPr>
        <w:t>that need</w:t>
      </w:r>
      <w:r w:rsidRPr="15E2EAE9" w:rsidR="005635A1">
        <w:rPr>
          <w:rFonts w:eastAsia="Times New Roman" w:cs="Calibri" w:cstheme="minorAscii"/>
          <w:color w:val="0B0C0C"/>
          <w:lang w:eastAsia="en-GB"/>
        </w:rPr>
        <w:t xml:space="preserve"> to be paid back, and has relatively new fixture</w:t>
      </w:r>
      <w:r w:rsidRPr="15E2EAE9" w:rsidR="00370624">
        <w:rPr>
          <w:rFonts w:eastAsia="Times New Roman" w:cs="Calibri" w:cstheme="minorAscii"/>
          <w:color w:val="0B0C0C"/>
          <w:lang w:eastAsia="en-GB"/>
        </w:rPr>
        <w:t>s</w:t>
      </w:r>
      <w:r w:rsidRPr="15E2EAE9" w:rsidR="005635A1">
        <w:rPr>
          <w:rFonts w:eastAsia="Times New Roman" w:cs="Calibri" w:cstheme="minorAscii"/>
          <w:color w:val="0B0C0C"/>
          <w:lang w:eastAsia="en-GB"/>
        </w:rPr>
        <w:t xml:space="preserve"> and fitting</w:t>
      </w:r>
      <w:r w:rsidRPr="15E2EAE9" w:rsidR="005635A1">
        <w:rPr>
          <w:rFonts w:eastAsia="Times New Roman" w:cs="Calibri" w:cstheme="minorAscii"/>
          <w:color w:val="0B0C0C"/>
          <w:lang w:eastAsia="en-GB"/>
        </w:rPr>
        <w:t>s</w:t>
      </w:r>
      <w:r w:rsidRPr="15E2EAE9" w:rsidR="005635A1">
        <w:rPr>
          <w:rFonts w:eastAsia="Times New Roman" w:cs="Calibri" w:cstheme="minorAscii"/>
          <w:color w:val="0B0C0C"/>
          <w:lang w:eastAsia="en-GB"/>
        </w:rPr>
        <w:t xml:space="preserve"> </w:t>
      </w:r>
      <w:r w:rsidRPr="15E2EAE9" w:rsidR="005635A1">
        <w:rPr>
          <w:rFonts w:eastAsia="Times New Roman" w:cs="Calibri" w:cstheme="minorAscii"/>
          <w:color w:val="0B0C0C"/>
          <w:lang w:eastAsia="en-GB"/>
        </w:rPr>
        <w:t xml:space="preserve">and no planned major expenditure, may decide to base their reserve policy on always having three </w:t>
      </w:r>
      <w:r w:rsidRPr="15E2EAE9" w:rsidR="00F4652B">
        <w:rPr>
          <w:rFonts w:eastAsia="Times New Roman" w:cs="Calibri" w:cstheme="minorAscii"/>
          <w:color w:val="0B0C0C"/>
          <w:lang w:eastAsia="en-GB"/>
        </w:rPr>
        <w:t xml:space="preserve">to six </w:t>
      </w:r>
      <w:r w:rsidRPr="15E2EAE9" w:rsidR="005635A1">
        <w:rPr>
          <w:rFonts w:eastAsia="Times New Roman" w:cs="Calibri" w:cstheme="minorAscii"/>
          <w:color w:val="0B0C0C"/>
          <w:lang w:eastAsia="en-GB"/>
        </w:rPr>
        <w:t>months average income as their reserves level.</w:t>
      </w:r>
    </w:p>
    <w:p w:rsidRPr="00A361D8" w:rsidR="000215DB" w:rsidP="000215DB" w:rsidRDefault="0080431D" w14:paraId="7FDC6B09" w14:textId="7777777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b/>
          <w:color w:val="0B0C0C"/>
          <w:lang w:eastAsia="en-GB"/>
        </w:rPr>
      </w:pPr>
      <w:r w:rsidRPr="00A361D8">
        <w:rPr>
          <w:rFonts w:eastAsia="Times New Roman" w:cstheme="minorHAnsi"/>
          <w:b/>
          <w:color w:val="0B0C0C"/>
          <w:lang w:eastAsia="en-GB"/>
        </w:rPr>
        <w:t>H</w:t>
      </w:r>
      <w:r w:rsidRPr="00A361D8" w:rsidR="000215DB">
        <w:rPr>
          <w:rFonts w:eastAsia="Times New Roman" w:cstheme="minorHAnsi"/>
          <w:b/>
          <w:color w:val="0B0C0C"/>
          <w:lang w:eastAsia="en-GB"/>
        </w:rPr>
        <w:t xml:space="preserve">ow and when your </w:t>
      </w:r>
      <w:r w:rsidRPr="00A361D8">
        <w:rPr>
          <w:rFonts w:eastAsia="Times New Roman" w:cstheme="minorHAnsi"/>
          <w:b/>
          <w:color w:val="0B0C0C"/>
          <w:lang w:eastAsia="en-GB"/>
        </w:rPr>
        <w:t>societies</w:t>
      </w:r>
      <w:r w:rsidRPr="00A361D8" w:rsidR="000215DB">
        <w:rPr>
          <w:rFonts w:eastAsia="Times New Roman" w:cstheme="minorHAnsi"/>
          <w:b/>
          <w:color w:val="0B0C0C"/>
          <w:lang w:eastAsia="en-GB"/>
        </w:rPr>
        <w:t xml:space="preserve"> reserves can be spent</w:t>
      </w:r>
    </w:p>
    <w:p w:rsidRPr="00A361D8" w:rsidR="005635A1" w:rsidP="4850D84F" w:rsidRDefault="005635A1" w14:paraId="46032D02" w14:textId="4A079D4A">
      <w:pPr>
        <w:shd w:val="clear" w:color="auto" w:fill="FFFFFF" w:themeFill="background1"/>
        <w:spacing w:before="300" w:after="300" w:line="240" w:lineRule="auto"/>
        <w:ind w:left="300"/>
      </w:pPr>
      <w:r w:rsidRPr="15E2EAE9" w:rsidR="005635A1">
        <w:rPr>
          <w:rFonts w:eastAsia="Times New Roman" w:cs="Calibri" w:cstheme="minorAscii"/>
          <w:color w:val="0B0C0C"/>
          <w:lang w:eastAsia="en-GB"/>
        </w:rPr>
        <w:t>You can set aside enough money to meet a potential need, such as an unexpected drop in income</w:t>
      </w:r>
      <w:r w:rsidRPr="15E2EAE9" w:rsidR="00F666A0">
        <w:rPr>
          <w:rFonts w:eastAsia="Times New Roman" w:cs="Calibri" w:cstheme="minorAscii"/>
          <w:color w:val="0B0C0C"/>
          <w:lang w:eastAsia="en-GB"/>
        </w:rPr>
        <w:t xml:space="preserve"> or full closure of the business</w:t>
      </w:r>
      <w:r w:rsidRPr="15E2EAE9" w:rsidR="005635A1">
        <w:rPr>
          <w:rFonts w:eastAsia="Times New Roman" w:cs="Calibri" w:cstheme="minorAscii"/>
          <w:color w:val="0B0C0C"/>
          <w:lang w:eastAsia="en-GB"/>
        </w:rPr>
        <w:t xml:space="preserve">. If you set aside money for a specific purpose, such as building works, make it clear that this is separate from </w:t>
      </w:r>
      <w:proofErr w:type="gramStart"/>
      <w:r w:rsidRPr="15E2EAE9" w:rsidR="005635A1">
        <w:rPr>
          <w:rFonts w:eastAsia="Times New Roman" w:cs="Calibri" w:cstheme="minorAscii"/>
          <w:color w:val="0B0C0C"/>
          <w:lang w:eastAsia="en-GB"/>
        </w:rPr>
        <w:t>the your</w:t>
      </w:r>
      <w:proofErr w:type="gramEnd"/>
      <w:r w:rsidRPr="15E2EAE9" w:rsidR="005635A1">
        <w:rPr>
          <w:rFonts w:eastAsia="Times New Roman" w:cs="Calibri" w:cstheme="minorAscii"/>
          <w:color w:val="0B0C0C"/>
          <w:lang w:eastAsia="en-GB"/>
        </w:rPr>
        <w:t xml:space="preserve"> general reserves.</w:t>
      </w:r>
      <w:r w:rsidR="005635A1">
        <w:rPr/>
        <w:t xml:space="preserve"> Reserves should not be relied upon for the long</w:t>
      </w:r>
      <w:r w:rsidR="005635A1">
        <w:rPr/>
        <w:t>-</w:t>
      </w:r>
      <w:r w:rsidR="005635A1">
        <w:rPr/>
        <w:t xml:space="preserve">term sustainability of a Community Business. </w:t>
      </w:r>
    </w:p>
    <w:p w:rsidRPr="00A361D8" w:rsidR="005635A1" w:rsidP="005635A1" w:rsidRDefault="0080431D" w14:paraId="02E27F92" w14:textId="7777777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b/>
          <w:color w:val="0B0C0C"/>
          <w:lang w:eastAsia="en-GB"/>
        </w:rPr>
      </w:pPr>
      <w:r w:rsidRPr="00A361D8">
        <w:rPr>
          <w:rFonts w:eastAsia="Times New Roman" w:cstheme="minorHAnsi"/>
          <w:b/>
          <w:color w:val="0B0C0C"/>
          <w:lang w:eastAsia="en-GB"/>
        </w:rPr>
        <w:t>H</w:t>
      </w:r>
      <w:r w:rsidRPr="00A361D8" w:rsidR="000215DB">
        <w:rPr>
          <w:rFonts w:eastAsia="Times New Roman" w:cstheme="minorHAnsi"/>
          <w:b/>
          <w:color w:val="0B0C0C"/>
          <w:lang w:eastAsia="en-GB"/>
        </w:rPr>
        <w:t>ow often the reserves policy will be reviewed</w:t>
      </w:r>
    </w:p>
    <w:p w:rsidRPr="00A361D8" w:rsidR="005635A1" w:rsidP="005635A1" w:rsidRDefault="005635A1" w14:paraId="4644AF59" w14:textId="77777777">
      <w:pPr>
        <w:shd w:val="clear" w:color="auto" w:fill="FFFFFF"/>
        <w:spacing w:after="75" w:line="240" w:lineRule="auto"/>
        <w:ind w:left="300"/>
        <w:rPr>
          <w:rFonts w:eastAsia="Times New Roman" w:cstheme="minorHAnsi"/>
          <w:color w:val="0B0C0C"/>
          <w:lang w:eastAsia="en-GB"/>
        </w:rPr>
      </w:pPr>
      <w:r w:rsidRPr="00A361D8">
        <w:rPr>
          <w:rFonts w:eastAsia="Times New Roman" w:cstheme="minorHAnsi"/>
          <w:color w:val="0B0C0C"/>
          <w:lang w:eastAsia="en-GB"/>
        </w:rPr>
        <w:lastRenderedPageBreak/>
        <w:t>As best practice, the</w:t>
      </w:r>
      <w:r w:rsidRPr="00A361D8">
        <w:t xml:space="preserve"> reserves policy should be signed of</w:t>
      </w:r>
      <w:r w:rsidRPr="00A361D8" w:rsidR="004A7281">
        <w:t>f</w:t>
      </w:r>
      <w:r w:rsidRPr="00A361D8">
        <w:t xml:space="preserve"> annually</w:t>
      </w:r>
      <w:r w:rsidRPr="00A361D8" w:rsidR="004A7281">
        <w:t>; t</w:t>
      </w:r>
      <w:r w:rsidRPr="00A361D8">
        <w:t>his could be after your AGM</w:t>
      </w:r>
      <w:r w:rsidRPr="00A361D8" w:rsidR="004A7281">
        <w:t xml:space="preserve">. You may wish to timetable a strategic review ahead of the AGM so that you can consider the business need for the year to come and review the policy. </w:t>
      </w:r>
      <w:r w:rsidRPr="00A361D8">
        <w:t xml:space="preserve"> </w:t>
      </w:r>
    </w:p>
    <w:p w:rsidRPr="00A361D8" w:rsidR="005635A1" w:rsidP="005635A1" w:rsidRDefault="005635A1" w14:paraId="5407C2B9" w14:textId="77777777">
      <w:pPr>
        <w:shd w:val="clear" w:color="auto" w:fill="FFFFFF"/>
        <w:spacing w:after="75" w:line="240" w:lineRule="auto"/>
        <w:ind w:left="300"/>
        <w:rPr>
          <w:rFonts w:eastAsia="Times New Roman" w:cstheme="minorHAnsi"/>
          <w:color w:val="0B0C0C"/>
          <w:lang w:eastAsia="en-GB"/>
        </w:rPr>
      </w:pPr>
    </w:p>
    <w:p w:rsidRPr="00A361D8" w:rsidR="00F0711D" w:rsidP="00F0711D" w:rsidRDefault="00F0711D" w14:paraId="48C6186F" w14:textId="7777777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b/>
          <w:color w:val="0B0C0C"/>
          <w:lang w:eastAsia="en-GB"/>
        </w:rPr>
      </w:pPr>
      <w:r w:rsidRPr="00A361D8">
        <w:rPr>
          <w:b/>
        </w:rPr>
        <w:t xml:space="preserve">How the business intends to establish / maintain reserves at the amount determined </w:t>
      </w:r>
    </w:p>
    <w:p w:rsidRPr="00A361D8" w:rsidR="005635A1" w:rsidP="4850D84F" w:rsidRDefault="004A7281" w14:paraId="72A4435F" w14:textId="5E04CC88">
      <w:pPr>
        <w:shd w:val="clear" w:color="auto" w:fill="FFFFFF" w:themeFill="background1"/>
        <w:spacing w:after="75" w:line="240" w:lineRule="auto"/>
        <w:ind w:left="300"/>
      </w:pPr>
      <w:r w:rsidR="004A7281">
        <w:rPr/>
        <w:t xml:space="preserve">This may be through trading, fundraising or funding applications, cutting costs through better procurement, investing funds or launching a new share offer/increasing membership. As outlined in the </w:t>
      </w:r>
      <w:r w:rsidR="004A7281">
        <w:rPr/>
        <w:t xml:space="preserve">Model </w:t>
      </w:r>
      <w:r w:rsidR="004A7281">
        <w:rPr/>
        <w:t>Rules</w:t>
      </w:r>
      <w:r w:rsidR="004A7281">
        <w:rPr/>
        <w:t>,</w:t>
      </w:r>
      <w:r w:rsidR="004A7281">
        <w:rPr/>
        <w:t xml:space="preserve"> the Management Committee may decide to stop allowing funds to be withdrawn to ensure reserves are maintained at the level required. </w:t>
      </w:r>
    </w:p>
    <w:p w:rsidRPr="00A361D8" w:rsidR="004A7281" w:rsidP="004A7281" w:rsidRDefault="004A7281" w14:paraId="22B986AE" w14:textId="77777777">
      <w:pPr>
        <w:shd w:val="clear" w:color="auto" w:fill="FFFFFF"/>
        <w:spacing w:after="75" w:line="240" w:lineRule="auto"/>
        <w:ind w:left="300"/>
      </w:pPr>
    </w:p>
    <w:p w:rsidRPr="00A361D8" w:rsidR="005B09B6" w:rsidP="005B09B6" w:rsidRDefault="005B09B6" w14:paraId="42707BBB" w14:textId="77777777">
      <w:pPr>
        <w:shd w:val="clear" w:color="auto" w:fill="FFFFFF"/>
        <w:spacing w:before="300" w:after="300" w:line="240" w:lineRule="auto"/>
        <w:rPr>
          <w:rFonts w:eastAsia="Times New Roman" w:cstheme="minorHAnsi"/>
          <w:b/>
          <w:color w:val="0B0C0C"/>
          <w:lang w:eastAsia="en-GB"/>
        </w:rPr>
      </w:pPr>
      <w:r w:rsidRPr="00A361D8">
        <w:rPr>
          <w:rFonts w:eastAsia="Times New Roman" w:cstheme="minorHAnsi"/>
          <w:b/>
          <w:color w:val="0B0C0C"/>
          <w:lang w:eastAsia="en-GB"/>
        </w:rPr>
        <w:t>Further Guidance</w:t>
      </w:r>
    </w:p>
    <w:p w:rsidRPr="00A361D8" w:rsidR="005B09B6" w:rsidP="009E786B" w:rsidRDefault="005B09B6" w14:paraId="70478973" w14:textId="77777777">
      <w:pPr>
        <w:pStyle w:val="ListParagraph"/>
        <w:numPr>
          <w:ilvl w:val="0"/>
          <w:numId w:val="4"/>
        </w:num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  <w:lang w:eastAsia="en-GB"/>
        </w:rPr>
      </w:pPr>
      <w:r w:rsidRPr="00A361D8">
        <w:rPr>
          <w:rFonts w:eastAsia="Times New Roman" w:cstheme="minorHAnsi"/>
          <w:color w:val="0B0C0C"/>
          <w:lang w:eastAsia="en-GB"/>
        </w:rPr>
        <w:t>Government</w:t>
      </w:r>
      <w:r w:rsidRPr="00A361D8" w:rsidR="005635A1">
        <w:rPr>
          <w:rFonts w:eastAsia="Times New Roman" w:cstheme="minorHAnsi"/>
          <w:color w:val="0B0C0C"/>
          <w:lang w:eastAsia="en-GB"/>
        </w:rPr>
        <w:t xml:space="preserve"> - </w:t>
      </w:r>
      <w:hyperlink w:history="1" r:id="rId5">
        <w:r w:rsidRPr="00A361D8" w:rsidR="005635A1">
          <w:rPr>
            <w:rStyle w:val="Hyperlink"/>
            <w:rFonts w:eastAsia="Times New Roman" w:cstheme="minorHAnsi"/>
            <w:lang w:eastAsia="en-GB"/>
          </w:rPr>
          <w:t>www.gov.uk/guidance/charity-financial-reserves</w:t>
        </w:r>
      </w:hyperlink>
    </w:p>
    <w:p w:rsidRPr="00A361D8" w:rsidR="005B09B6" w:rsidP="00FC055A" w:rsidRDefault="005B09B6" w14:paraId="0370FCCA" w14:textId="77777777">
      <w:pPr>
        <w:pStyle w:val="ListParagraph"/>
        <w:numPr>
          <w:ilvl w:val="0"/>
          <w:numId w:val="4"/>
        </w:num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  <w:lang w:eastAsia="en-GB"/>
        </w:rPr>
      </w:pPr>
      <w:r w:rsidRPr="00A361D8">
        <w:rPr>
          <w:rFonts w:eastAsia="Times New Roman" w:cstheme="minorHAnsi"/>
          <w:color w:val="0B0C0C"/>
          <w:lang w:eastAsia="en-GB"/>
        </w:rPr>
        <w:t>NVCO</w:t>
      </w:r>
      <w:r w:rsidRPr="00A361D8" w:rsidR="005635A1">
        <w:rPr>
          <w:rFonts w:eastAsia="Times New Roman" w:cstheme="minorHAnsi"/>
          <w:color w:val="0B0C0C"/>
          <w:lang w:eastAsia="en-GB"/>
        </w:rPr>
        <w:t xml:space="preserve"> – </w:t>
      </w:r>
      <w:hyperlink w:history="1" r:id="rId6">
        <w:r w:rsidRPr="00A361D8" w:rsidR="005635A1">
          <w:rPr>
            <w:rStyle w:val="Hyperlink"/>
            <w:rFonts w:eastAsia="Times New Roman" w:cstheme="minorHAnsi"/>
            <w:lang w:eastAsia="en-GB"/>
          </w:rPr>
          <w:t>www.knowhow.ncvo.org.uk/tools-resources/financial-procedures-manual/writing-the-financial-procedures-manual/financial-responsibilities-1/reserves-policy</w:t>
        </w:r>
      </w:hyperlink>
    </w:p>
    <w:p w:rsidRPr="00A361D8" w:rsidR="00F666A0" w:rsidP="00F666A0" w:rsidRDefault="00F666A0" w14:paraId="209E762D" w14:textId="77777777">
      <w:pPr>
        <w:shd w:val="clear" w:color="auto" w:fill="FFFFFF"/>
        <w:spacing w:before="300" w:after="300" w:line="240" w:lineRule="auto"/>
        <w:rPr>
          <w:rFonts w:eastAsia="Times New Roman" w:cstheme="minorHAnsi"/>
          <w:b/>
          <w:color w:val="0B0C0C"/>
          <w:lang w:eastAsia="en-GB"/>
        </w:rPr>
      </w:pPr>
    </w:p>
    <w:p w:rsidRPr="00A361D8" w:rsidR="00F666A0" w:rsidP="00F666A0" w:rsidRDefault="00F666A0" w14:paraId="7A2856F0" w14:textId="77777777">
      <w:pPr>
        <w:shd w:val="clear" w:color="auto" w:fill="FFFFFF"/>
        <w:spacing w:before="300" w:after="300" w:line="240" w:lineRule="auto"/>
        <w:rPr>
          <w:rFonts w:eastAsia="Times New Roman" w:cstheme="minorHAnsi"/>
          <w:b/>
          <w:color w:val="0B0C0C"/>
          <w:lang w:eastAsia="en-GB"/>
        </w:rPr>
      </w:pPr>
      <w:r w:rsidRPr="00A361D8">
        <w:rPr>
          <w:rFonts w:eastAsia="Times New Roman" w:cstheme="minorHAnsi"/>
          <w:b/>
          <w:color w:val="0B0C0C"/>
          <w:lang w:eastAsia="en-GB"/>
        </w:rPr>
        <w:t>Support Available</w:t>
      </w:r>
    </w:p>
    <w:p w:rsidRPr="00A361D8" w:rsidR="00F666A0" w:rsidP="00F666A0" w:rsidRDefault="00F666A0" w14:paraId="789C3709" w14:textId="48D5FE3C">
      <w:r w:rsidR="00F666A0">
        <w:rPr/>
        <w:t>Please remember that Plunkett support is available</w:t>
      </w:r>
      <w:r w:rsidR="00F666A0">
        <w:rPr/>
        <w:t xml:space="preserve"> for all community businesses</w:t>
      </w:r>
      <w:r w:rsidR="00F666A0">
        <w:rPr/>
        <w:t xml:space="preserve">, do contact us if you are experiencing any </w:t>
      </w:r>
      <w:r w:rsidR="002318B0">
        <w:rPr/>
        <w:t xml:space="preserve">financial </w:t>
      </w:r>
      <w:r w:rsidR="00F666A0">
        <w:rPr/>
        <w:t xml:space="preserve">difficulties </w:t>
      </w:r>
      <w:r w:rsidR="00F666A0">
        <w:rPr/>
        <w:t>or have queries about managing your reserves</w:t>
      </w:r>
      <w:r w:rsidR="00F666A0">
        <w:rPr/>
        <w:t xml:space="preserve">: </w:t>
      </w:r>
      <w:hyperlink r:id="Re1667da8461c409e">
        <w:r w:rsidRPr="15E2EAE9" w:rsidR="00F666A0">
          <w:rPr>
            <w:rStyle w:val="Hyperlink"/>
          </w:rPr>
          <w:t>info@plunkett.co.uk</w:t>
        </w:r>
      </w:hyperlink>
      <w:r w:rsidR="00F666A0">
        <w:rPr/>
        <w:t xml:space="preserve">, </w:t>
      </w:r>
      <w:r w:rsidR="00F666A0">
        <w:rPr/>
        <w:t xml:space="preserve">or online via </w:t>
      </w:r>
      <w:proofErr w:type="gramStart"/>
      <w:r w:rsidR="00F666A0">
        <w:rPr/>
        <w:t>our</w:t>
      </w:r>
      <w:proofErr w:type="gramEnd"/>
      <w:r w:rsidR="00F666A0">
        <w:rPr/>
        <w:t xml:space="preserve"> </w:t>
      </w:r>
      <w:hyperlink r:id="R8c37def868db4868">
        <w:r w:rsidRPr="15E2EAE9" w:rsidR="00F666A0">
          <w:rPr>
            <w:rStyle w:val="Hyperlink"/>
          </w:rPr>
          <w:t>enquiry form</w:t>
        </w:r>
      </w:hyperlink>
      <w:r w:rsidR="00F666A0">
        <w:rPr/>
        <w:t>.</w:t>
      </w:r>
    </w:p>
    <w:p w:rsidRPr="00A361D8" w:rsidR="005B09B6" w:rsidP="005B09B6" w:rsidRDefault="005B09B6" w14:paraId="1BF84C3B" w14:textId="77777777">
      <w:p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  <w:lang w:eastAsia="en-GB"/>
        </w:rPr>
      </w:pPr>
      <w:bookmarkStart w:name="_GoBack" w:id="4"/>
      <w:bookmarkEnd w:id="4"/>
    </w:p>
    <w:sectPr w:rsidRPr="00A361D8" w:rsidR="005B09B6"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5d6835647cd348ef"/>
      <w:footerReference w:type="default" r:id="R1aa39e0f3e724af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EFBBF" w16cex:dateUtc="2021-09-17T10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DDA851" w16cid:durableId="24EEFBB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  <w:tblPrChange w:author="Claire Spendley" w:date="2022-03-09T11:28:48.803Z" w:id="618600893">
        <w:tblPr>
          <w:tblStyle w:val="TableGrid"/>
          <w:tblLayout w:type="fixed"/>
          <w:tblLook w:val="06A0" w:firstRow="1" w:lastRow="0" w:firstColumn="1" w:lastColumn="0" w:noHBand="1" w:noVBand="1"/>
        </w:tblPr>
      </w:tblPrChange>
    </w:tblPr>
    <w:tblGrid>
      <w:tblGridChange>
        <w:tblGrid>
          <w:gridCol w:w="3005"/>
          <w:gridCol w:w="3005"/>
          <w:gridCol w:w="3005"/>
        </w:tblGrid>
      </w:tblGridChange>
      <w:gridCol w:w="3005"/>
      <w:gridCol w:w="3005"/>
      <w:gridCol w:w="3005"/>
    </w:tblGrid>
    <w:tr w:rsidR="4850D84F" w:rsidTr="4850D84F" w14:paraId="4D113971">
      <w:tc>
        <w:tcPr>
          <w:tcW w:w="3005" w:type="dxa"/>
          <w:tcMar/>
          <w:tcPrChange w:author="Claire Spendley" w:date="2022-03-09T11:28:48.803Z" w:id="1744773911">
            <w:tcPr>
              <w:tcW w:w="3005" w:type="dxa"/>
              <w:tcMar/>
            </w:tcPr>
          </w:tcPrChange>
        </w:tcPr>
        <w:p w:rsidR="4850D84F" w:rsidP="4850D84F" w:rsidRDefault="4850D84F" w14:paraId="66A258D4" w14:textId="59779CE5">
          <w:pPr>
            <w:pStyle w:val="Header"/>
            <w:bidi w:val="0"/>
            <w:ind w:left="-115"/>
            <w:jc w:val="left"/>
            <w:pPrChange w:author="Claire Spendley" w:date="2022-03-09T11:28:48.815Z" w:id="672681081">
              <w:pPr>
                <w:bidi w:val="0"/>
              </w:pPr>
            </w:pPrChange>
          </w:pPr>
        </w:p>
      </w:tc>
      <w:tc>
        <w:tcPr>
          <w:tcW w:w="3005" w:type="dxa"/>
          <w:tcMar/>
          <w:tcPrChange w:author="Claire Spendley" w:date="2022-03-09T11:28:48.803Z" w:id="1922355318">
            <w:tcPr>
              <w:tcW w:w="3005" w:type="dxa"/>
              <w:tcMar/>
            </w:tcPr>
          </w:tcPrChange>
        </w:tcPr>
        <w:p w:rsidR="4850D84F" w:rsidP="4850D84F" w:rsidRDefault="4850D84F" w14:paraId="7A81ADFE" w14:textId="08E1085E">
          <w:pPr>
            <w:pStyle w:val="Header"/>
            <w:bidi w:val="0"/>
            <w:jc w:val="center"/>
            <w:pPrChange w:author="Claire Spendley" w:date="2022-03-09T11:28:48.828Z" w:id="1880252486">
              <w:pPr>
                <w:bidi w:val="0"/>
              </w:pPr>
            </w:pPrChange>
          </w:pPr>
        </w:p>
      </w:tc>
      <w:tc>
        <w:tcPr>
          <w:tcW w:w="3005" w:type="dxa"/>
          <w:tcMar/>
          <w:tcPrChange w:author="Claire Spendley" w:date="2022-03-09T11:28:48.803Z" w:id="1252428370">
            <w:tcPr>
              <w:tcW w:w="3005" w:type="dxa"/>
              <w:tcMar/>
            </w:tcPr>
          </w:tcPrChange>
        </w:tcPr>
        <w:p w:rsidR="4850D84F" w:rsidP="4850D84F" w:rsidRDefault="4850D84F" w14:paraId="40E12DF2" w14:textId="66720C2F">
          <w:pPr>
            <w:pStyle w:val="Header"/>
            <w:bidi w:val="0"/>
            <w:ind w:right="-115"/>
            <w:jc w:val="right"/>
            <w:pPrChange w:author="Claire Spendley" w:date="2022-03-09T11:28:48.834Z" w:id="733646697">
              <w:pPr>
                <w:bidi w:val="0"/>
              </w:pPr>
            </w:pPrChange>
          </w:pPr>
        </w:p>
      </w:tc>
    </w:tr>
  </w:tbl>
  <w:p w:rsidR="4850D84F" w:rsidP="4850D84F" w:rsidRDefault="4850D84F" w14:paraId="06B095A3" w14:textId="1D44C355">
    <w:pPr>
      <w:pStyle w:val="Footer"/>
      <w:bidi w:val="0"/>
      <w:pPrChange w:author="Claire Spendley" w:date="2022-03-09T11:28:48.845Z" w:id="81607500">
        <w:pPr>
          <w:bidi w:val="0"/>
        </w:pPr>
      </w:pPrChange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  <w:tblPrChange w:author="Claire Spendley" w:date="2022-03-09T11:28:48.751Z" w:id="718564700">
        <w:tblPr>
          <w:tblStyle w:val="TableGrid"/>
          <w:tblLayout w:type="fixed"/>
          <w:tblLook w:val="06A0" w:firstRow="1" w:lastRow="0" w:firstColumn="1" w:lastColumn="0" w:noHBand="1" w:noVBand="1"/>
        </w:tblPr>
      </w:tblPrChange>
    </w:tblPr>
    <w:tblGrid>
      <w:gridCol w:w="3005"/>
      <w:gridCol w:w="3005"/>
      <w:gridCol w:w="3005"/>
    </w:tblGrid>
    <w:tr w:rsidR="4850D84F" w:rsidTr="15E2EAE9" w14:paraId="50138063">
      <w:tc>
        <w:tcPr>
          <w:tcW w:w="3005" w:type="dxa"/>
          <w:tcMar/>
          <w:tcPrChange w:author="Claire Spendley" w:date="2022-03-09T11:28:48.751Z" w:id="1306856464">
            <w:tcPr>
              <w:tcW w:w="3005" w:type="dxa"/>
              <w:tcMar/>
            </w:tcPr>
          </w:tcPrChange>
        </w:tcPr>
        <w:p w:rsidR="4850D84F" w:rsidP="15E2EAE9" w:rsidRDefault="4850D84F" w14:paraId="5F387277" w14:textId="0568F315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  <w:tcPrChange w:author="Claire Spendley" w:date="2022-03-09T11:28:48.751Z" w:id="776808503">
            <w:tcPr>
              <w:tcW w:w="3005" w:type="dxa"/>
              <w:tcMar/>
            </w:tcPr>
          </w:tcPrChange>
        </w:tcPr>
        <w:p w:rsidR="4850D84F" w:rsidP="4850D84F" w:rsidRDefault="4850D84F" w14:paraId="79C46D80" w14:textId="530C4B2C">
          <w:pPr>
            <w:pStyle w:val="Header"/>
            <w:bidi w:val="0"/>
            <w:jc w:val="center"/>
            <w:pPrChange w:author="Claire Spendley" w:date="2022-03-09T11:28:48.775Z" w:id="1310641143">
              <w:pPr>
                <w:bidi w:val="0"/>
              </w:pPr>
            </w:pPrChange>
          </w:pPr>
        </w:p>
      </w:tc>
      <w:tc>
        <w:tcPr>
          <w:tcW w:w="3005" w:type="dxa"/>
          <w:tcMar/>
          <w:tcPrChange w:author="Claire Spendley" w:date="2022-03-09T11:28:48.751Z" w:id="976392392">
            <w:tcPr>
              <w:tcW w:w="3005" w:type="dxa"/>
              <w:tcMar/>
            </w:tcPr>
          </w:tcPrChange>
        </w:tcPr>
        <w:p w:rsidR="4850D84F" w:rsidP="4850D84F" w:rsidRDefault="4850D84F" w14:paraId="0598473B" w14:textId="19386296">
          <w:pPr>
            <w:pStyle w:val="Header"/>
            <w:bidi w:val="0"/>
            <w:ind w:right="-115"/>
            <w:jc w:val="right"/>
            <w:pPrChange w:author="Claire Spendley" w:date="2022-03-09T11:29:08.933Z" w:id="2023374318">
              <w:pPr>
                <w:bidi w:val="0"/>
              </w:pPr>
            </w:pPrChange>
          </w:pPr>
          <w:ins w:author="Claire Spendley" w:date="2022-03-09T11:29:08.902Z" w:id="582154473">
            <w:r w:rsidR="4850D84F">
              <w:drawing>
                <wp:inline wp14:editId="6BA8FC9A" wp14:anchorId="0E1A4BA4">
                  <wp:extent cx="1504950" cy="1504950"/>
                  <wp:effectExtent l="0" t="0" r="0" b="0"/>
                  <wp:docPr id="57377561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fba182bb70b491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ins>
        </w:p>
      </w:tc>
    </w:tr>
  </w:tbl>
  <w:p w:rsidR="4850D84F" w:rsidP="4850D84F" w:rsidRDefault="4850D84F" w14:paraId="2A9F331F" w14:textId="3465DE90">
    <w:pPr>
      <w:pStyle w:val="Header"/>
      <w:bidi w:val="0"/>
      <w:pPrChange w:author="Claire Spendley" w:date="2022-03-09T11:28:48.796Z" w:id="728897462">
        <w:pPr>
          <w:bidi w:val="0"/>
        </w:pPr>
      </w:pPrChange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4B6D"/>
    <w:multiLevelType w:val="hybridMultilevel"/>
    <w:tmpl w:val="D2BC0D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9A1436"/>
    <w:multiLevelType w:val="hybridMultilevel"/>
    <w:tmpl w:val="250C8F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7921"/>
    <w:multiLevelType w:val="multilevel"/>
    <w:tmpl w:val="910A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688512FC"/>
    <w:multiLevelType w:val="hybridMultilevel"/>
    <w:tmpl w:val="E1A627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DB"/>
    <w:rsid w:val="000215DB"/>
    <w:rsid w:val="002318B0"/>
    <w:rsid w:val="00330568"/>
    <w:rsid w:val="00370624"/>
    <w:rsid w:val="00440EFC"/>
    <w:rsid w:val="004A7281"/>
    <w:rsid w:val="0050613C"/>
    <w:rsid w:val="005635A1"/>
    <w:rsid w:val="005B09B6"/>
    <w:rsid w:val="0072654D"/>
    <w:rsid w:val="0080431D"/>
    <w:rsid w:val="00A361D8"/>
    <w:rsid w:val="00B427C1"/>
    <w:rsid w:val="00CC42D5"/>
    <w:rsid w:val="00E1F559"/>
    <w:rsid w:val="00F0711D"/>
    <w:rsid w:val="00F4652B"/>
    <w:rsid w:val="00F666A0"/>
    <w:rsid w:val="15E2EAE9"/>
    <w:rsid w:val="34622745"/>
    <w:rsid w:val="43699BA4"/>
    <w:rsid w:val="4850D84F"/>
    <w:rsid w:val="5F88D2DF"/>
    <w:rsid w:val="63E2620B"/>
    <w:rsid w:val="71A62FB6"/>
    <w:rsid w:val="7AE4A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494C7"/>
  <w15:chartTrackingRefBased/>
  <w15:docId w15:val="{1839234A-D58D-4EC9-A53C-B9209119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9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0431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635A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46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2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465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2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4652B"/>
    <w:rPr>
      <w:b/>
      <w:bCs/>
      <w:sz w:val="20"/>
      <w:szCs w:val="20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0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8/08/relationships/commentsExtensible" Target="commentsExtensible.xml" Id="rId13" /><Relationship Type="http://schemas.openxmlformats.org/officeDocument/2006/relationships/settings" Target="settings.xml" Id="rId3" /><Relationship Type="http://schemas.microsoft.com/office/2016/09/relationships/commentsIds" Target="commentsIds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hyperlink" Target="http://www.knowhow.ncvo.org.uk/tools-resources/financial-procedures-manual/writing-the-financial-procedures-manual/financial-responsibilities-1/reserves-policy" TargetMode="External" Id="rId6" /><Relationship Type="http://schemas.openxmlformats.org/officeDocument/2006/relationships/theme" Target="theme/theme1.xml" Id="rId11" /><Relationship Type="http://schemas.openxmlformats.org/officeDocument/2006/relationships/hyperlink" Target="http://www.gov.uk/guidance/charity-financial-reserves" TargetMode="External" Id="rId5" /><Relationship Type="http://schemas.openxmlformats.org/officeDocument/2006/relationships/customXml" Target="../customXml/item2.xml" Id="rId15" /><Relationship Type="http://schemas.microsoft.com/office/2011/relationships/people" Target="people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ustomXml" Target="../customXml/item1.xml" Id="rId14" /><Relationship Type="http://schemas.openxmlformats.org/officeDocument/2006/relationships/header" Target="header.xml" Id="R5d6835647cd348ef" /><Relationship Type="http://schemas.openxmlformats.org/officeDocument/2006/relationships/footer" Target="footer.xml" Id="R1aa39e0f3e724af4" /><Relationship Type="http://schemas.openxmlformats.org/officeDocument/2006/relationships/hyperlink" Target="mailto:info@plunkett.co.uk" TargetMode="External" Id="Re1667da8461c409e" /><Relationship Type="http://schemas.openxmlformats.org/officeDocument/2006/relationships/hyperlink" Target="https://plunkett.co.uk/form-general-contact/" TargetMode="External" Id="R8c37def868db4868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5fba182bb70b491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69EF4186DD34EB0CC4B8FABAF941B" ma:contentTypeVersion="4" ma:contentTypeDescription="Create a new document." ma:contentTypeScope="" ma:versionID="e94a4796b5ee6d6f07fbb9f09e3c7c58">
  <xsd:schema xmlns:xsd="http://www.w3.org/2001/XMLSchema" xmlns:xs="http://www.w3.org/2001/XMLSchema" xmlns:p="http://schemas.microsoft.com/office/2006/metadata/properties" xmlns:ns2="05e70282-4d80-4ac2-918d-77195f861476" targetNamespace="http://schemas.microsoft.com/office/2006/metadata/properties" ma:root="true" ma:fieldsID="c11d6856e43e78f6942683e0ba5bc722" ns2:_="">
    <xsd:import namespace="05e70282-4d80-4ac2-918d-77195f8614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70282-4d80-4ac2-918d-77195f861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071D76-9392-430D-AD92-B4707CD09F77}"/>
</file>

<file path=customXml/itemProps2.xml><?xml version="1.0" encoding="utf-8"?>
<ds:datastoreItem xmlns:ds="http://schemas.openxmlformats.org/officeDocument/2006/customXml" ds:itemID="{672706DE-62BA-44EE-9241-29B3D4F03C36}"/>
</file>

<file path=customXml/itemProps3.xml><?xml version="1.0" encoding="utf-8"?>
<ds:datastoreItem xmlns:ds="http://schemas.openxmlformats.org/officeDocument/2006/customXml" ds:itemID="{DDCF087D-6491-4B4E-BF20-DE1FA461406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Alison Macklin</dc:creator>
  <keywords/>
  <dc:description/>
  <lastModifiedBy>Alison Macklin</lastModifiedBy>
  <revision>5</revision>
  <dcterms:created xsi:type="dcterms:W3CDTF">2021-09-17T13:12:00.0000000Z</dcterms:created>
  <dcterms:modified xsi:type="dcterms:W3CDTF">2022-03-17T09:14:04.2567087Z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0x01010080369EF4186DD34EB0CC4B8FABAF941B</vt:lpwstr>
  </property>
</Properties>
</file>